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E" w:rsidRDefault="00F173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3FE" w:rsidRDefault="00F173FE">
      <w:pPr>
        <w:pStyle w:val="ConsPlusNormal"/>
        <w:ind w:firstLine="540"/>
        <w:jc w:val="both"/>
        <w:outlineLvl w:val="0"/>
      </w:pPr>
    </w:p>
    <w:p w:rsidR="00F173FE" w:rsidRDefault="00F173FE">
      <w:pPr>
        <w:pStyle w:val="ConsPlusNormal"/>
        <w:outlineLvl w:val="0"/>
      </w:pPr>
      <w:r>
        <w:t>Зарегистрировано в Минюсте России 25 марта 2016 г. N 41560</w:t>
      </w:r>
    </w:p>
    <w:p w:rsidR="00F173FE" w:rsidRDefault="00F1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Title"/>
        <w:jc w:val="center"/>
      </w:pPr>
      <w:r>
        <w:t>МИНИСТЕРСТВО ПРИРОДНЫХ РЕСУРСОВ И ЭКОЛОГИИ</w:t>
      </w:r>
    </w:p>
    <w:p w:rsidR="00F173FE" w:rsidRDefault="00F173FE">
      <w:pPr>
        <w:pStyle w:val="ConsPlusTitle"/>
        <w:jc w:val="center"/>
      </w:pPr>
      <w:r>
        <w:t>РОССИЙСКОЙ ФЕДЕРАЦИИ</w:t>
      </w:r>
    </w:p>
    <w:p w:rsidR="00F173FE" w:rsidRDefault="00F173FE">
      <w:pPr>
        <w:pStyle w:val="ConsPlusTitle"/>
        <w:jc w:val="center"/>
      </w:pPr>
    </w:p>
    <w:p w:rsidR="00F173FE" w:rsidRDefault="00F173FE">
      <w:pPr>
        <w:pStyle w:val="ConsPlusTitle"/>
        <w:jc w:val="center"/>
      </w:pPr>
      <w:r>
        <w:t>ПРИКАЗ</w:t>
      </w:r>
    </w:p>
    <w:p w:rsidR="00F173FE" w:rsidRDefault="00F173FE">
      <w:pPr>
        <w:pStyle w:val="ConsPlusTitle"/>
        <w:jc w:val="center"/>
      </w:pPr>
      <w:r>
        <w:t>от 29 февраля 2016 г. N 54</w:t>
      </w:r>
    </w:p>
    <w:p w:rsidR="00F173FE" w:rsidRDefault="00F173FE">
      <w:pPr>
        <w:pStyle w:val="ConsPlusTitle"/>
        <w:jc w:val="center"/>
      </w:pPr>
    </w:p>
    <w:p w:rsidR="00F173FE" w:rsidRDefault="00F173FE">
      <w:pPr>
        <w:pStyle w:val="ConsPlusTitle"/>
        <w:jc w:val="center"/>
      </w:pPr>
      <w:r>
        <w:t>ОБ УТВЕРЖДЕНИИ ТРЕБОВАНИЙ</w:t>
      </w:r>
    </w:p>
    <w:p w:rsidR="00F173FE" w:rsidRDefault="00F173FE">
      <w:pPr>
        <w:pStyle w:val="ConsPlusTitle"/>
        <w:jc w:val="center"/>
      </w:pPr>
      <w:r>
        <w:t>К СОДЕРЖАНИЮ ГЕОЛОГИЧЕСКОЙ ИНФОРМАЦИИ О НЕДРАХ И ФОРМЫ</w:t>
      </w:r>
    </w:p>
    <w:p w:rsidR="00F173FE" w:rsidRDefault="00F173FE">
      <w:pPr>
        <w:pStyle w:val="ConsPlusTitle"/>
        <w:jc w:val="center"/>
      </w:pPr>
      <w:r>
        <w:t>ЕЕ ПРЕДСТАВЛЕНИЯ</w:t>
      </w:r>
    </w:p>
    <w:p w:rsidR="00F173FE" w:rsidRDefault="00F173FE">
      <w:pPr>
        <w:pStyle w:val="ConsPlusNormal"/>
        <w:jc w:val="center"/>
      </w:pPr>
    </w:p>
    <w:p w:rsidR="00F173FE" w:rsidRDefault="00F173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 приказываю: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содержанию геологической информации о недрах и форму ее представления.</w:t>
      </w: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jc w:val="right"/>
      </w:pPr>
      <w:r>
        <w:t>Министр</w:t>
      </w:r>
    </w:p>
    <w:p w:rsidR="00F173FE" w:rsidRDefault="00F173FE">
      <w:pPr>
        <w:pStyle w:val="ConsPlusNormal"/>
        <w:jc w:val="right"/>
      </w:pPr>
      <w:r>
        <w:t>С.Е.ДОНСКОЙ</w:t>
      </w: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jc w:val="right"/>
        <w:outlineLvl w:val="0"/>
      </w:pPr>
      <w:r>
        <w:t>Утверждены</w:t>
      </w:r>
    </w:p>
    <w:p w:rsidR="00F173FE" w:rsidRDefault="00F173FE">
      <w:pPr>
        <w:pStyle w:val="ConsPlusNormal"/>
        <w:jc w:val="right"/>
      </w:pPr>
      <w:r>
        <w:t>приказом Минприроды России</w:t>
      </w:r>
    </w:p>
    <w:p w:rsidR="00F173FE" w:rsidRDefault="00F173FE">
      <w:pPr>
        <w:pStyle w:val="ConsPlusNormal"/>
        <w:jc w:val="right"/>
      </w:pPr>
      <w:r>
        <w:t>от 29.02.2016 N 54</w:t>
      </w: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F173FE" w:rsidRDefault="00F173FE">
      <w:pPr>
        <w:pStyle w:val="ConsPlusTitle"/>
        <w:jc w:val="center"/>
      </w:pPr>
      <w:r>
        <w:t>К СОДЕРЖАНИЮ ГЕОЛОГИЧЕСКОЙ ИНФОРМАЦИИ О НЕДРАХ И ФОРМА</w:t>
      </w:r>
    </w:p>
    <w:p w:rsidR="00F173FE" w:rsidRDefault="00F173FE">
      <w:pPr>
        <w:pStyle w:val="ConsPlusTitle"/>
        <w:jc w:val="center"/>
      </w:pPr>
      <w:r>
        <w:t>ЕЕ ПРЕДСТАВЛЕНИЯ</w:t>
      </w: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  <w:r>
        <w:t xml:space="preserve">1. Настоящие Требования разработаны в соответствии с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 и устанавливают требования к содержанию геологической информации о недрах и форму ее представления.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2. Первичная геологическая информация о недрах представляется как в форме документа на бумажном носителе, содержащем текстовую и графическую информацию, так и в форме электронного документа на электронном носителе.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Содержание первичной геологической информации о недрах, полученной в результате геолого-геофизических наблюдений, включая дистанционные, и исследований (в том числе приборами), должно соответствовать следующим требованиям: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1) документация маршрутов, пунктов наблюдения и обследования (в том числе разрезов, карьеров, месторождений, рудопроявлений, горных выработок, водных объектов) должна </w:t>
      </w:r>
      <w:r>
        <w:lastRenderedPageBreak/>
        <w:t>включать сведения о пространственной привязке объектов наблюдений и пунктов отбора проб, описания, зарисовки, кино- и фотоматериалы геологических объектов;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акты обследования скважин, в том числе водозаборных, колодцев, родников должны включать сведения о пространственной привязке, состоянии объекта, об отобранных пробах, режиме подземных вод, дебите родников, а также зарисовки, кино- и фотоматериалы;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полевые журналы отбора образцов и проб природных геологических материалов, распределения образцов и проб по видам анализов должны включать сведения о пространственной привязке, условия отбора образцов и проб, полевые описания образцов и проб, сведения о распределении образцов и проб по видам лабораторно-аналитических исследований;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4) каталоги координат и картограммы геологических объектов, площадей работ, профилей, скважин, пунктов наблюдений и отбора проб должны включать координаты в географической или прямоугольной системе координат с указанием используемой проекции и фигуры Земли, при этом количество объектов на картограмме должно соответствовать количеству наблюденных объектов;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5) материалы лабораторно-аналитических исследований должны включать документацию (ведомости) с результатами анализов, включая ссылки на полевые журналы отбора образцов и проб; описания шлифов, аншлифов, образцов пород и руд; сведения о методике и технологии проведения исследований, результаты контроля полученных данных;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6) документация полевых геолого-геофизических наблюдений должна включать записи полевых наблюдений в бумажном или электронном виде, сведения о пространственной привязке объектов наблюдений, рапорта оператора, сопроводительные пометодные материалы;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7) результаты предобработки полевых наблюдений, полевая графика должны включать пометодные результаты предобработки данных, сейсмические разрезы, каталоги потенциальных полей, поправки в наблюденные значения поля, сведения о методике и технологии проведения исследований, результаты контроля полученных данных;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8) документы метрологического контроля используемых аппаратных средств должны включать сведения о соответствии технических характеристик оборудования установленным стандартам и требованиям, результаты эталонирования, калибровки в виде актов, записей в соответствующих журналах или в виде цифровых файлов, полученных в ходе полевых и лабораторно-аналитических исследований;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9) документация горнопроходческих и буровых работ должна включать сведения паспорта (учетные карточки) горных выработок и скважин, журналы геологической документации, буровые журналы, сведения о пространственной привязке, данные геолого-технологических исследований (ГТИ);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10) документация скважинных исследований и испытаний, включая опытно-фильтрационные работы в гидрогеологических скважинах, должна включать сведения паспорта скважин, журналы геологической документации, сведения о пространственной привязке, каротажные диаграммы, сейсмограммы вертикального сейсмического профилирования (ВСП), сведения о методике и технологии работ, журналы откачек и прокачек воды, отбора проб, режимных наблюдений, материалы предобработки данных, результаты опробований и испытания скважин;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11) документация описания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 (далее - материальные носители первичной геологической информации о недрах), должна включать сведения о пространственной привязке, полевое и лабораторное описание материальных носителей первичной геологической информации о недрах;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lastRenderedPageBreak/>
        <w:t>12) материалы аэрокосмической съемки, фото-, кино- и видеоматериалы должны включать бумажные или цифровые записи съемок, сведения о методике и технологии съемок и пространственной привязке, даты проведения съемок, результаты их дешифрирования;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13) документация государственного мониторинга окружающей среды, геодинамического состояния недр, регистрации землетрясений, государственного мониторинга состояния недр должна включать сведения о пространственной привязке, дежурные карты и схемы размещения участков и пунктов наблюдения, журналы наблюдений, сведения об изменениях химического состава, температуры, уровня и режима подземных вод, сведения об отборе проб, цифровые записи землетрясений, материалы предобработки первичных данных.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3. С первичной геологической информацией о недрах представляется пояснительная записка, содержащая указание на метод (модификации) проведенных работ по видам полезных ископаемых и видам пользования недрами, перечень используемых технических средств, сведения о масштабе и объеме работ, перечень результативных материалов, средства контроля полученных результатов.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4. Интерпретированная геологическая информация о недрах представляется как в форме документа на бумажном носителе, содержащем геологические отчеты, карты, схемы, планы, эскизы, разрезы, альбомы, состоящих из текстовой и графической информации, иллюстраций, таблиц, рисунков, фотографий, так и в форме электронного документа на электронном носителе.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5. Отчет о результатах всех видов работ по видам полезных ископаемых и видам пользования недрами (далее - отчет) должен содержать полные и систематизированные сведения об итогах выполненных работ и исследований, включая получение производной информации на основе ранее выполненных работ, а также обосновывающие данные, на которых базируются сделанные в отчете выводы и заключения.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Отчет должен быть составлен на русском языке. Включаемые в состав отчета документы, в том числе графические приложения, оригинал которых был составлен на иностранном языке, должны быть переведены на русский язык.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Наименования географических объектов указываются в отчете в соответствии с законодательством Российской Федерации о наименовании географических объектов.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Содержание отчета должно отвечать критериям четкости изложения конкретных результатов работы, проверяемости измерений и расчетов, обоснованность выводов и рекомендаций, исключающие возможность неоднозначного их толкования.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Отчет должен содержать следующие структурные элементы: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этикетку (на обложке);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титульный лист;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список исполнителей;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4) реферат;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5) копию геологического (технического) задания к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проектная документация на геологическое изучение недр);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6) содержание;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lastRenderedPageBreak/>
        <w:t>7) список иллюстраций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8) список таблиц в текстовой части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9) список текстовых приложений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10) список графических приложений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11) содержание машиночитаемой версии отчета;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12) перечень малораспространенных и новых терминов, условных обозначений, символов и сокращений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13) текстовую часть (введение, основную часть, заключение);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14) список использованных источников (литературу);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15) заключение (справку) о метрологической экспертизе;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16) заключение о патентных исследованиях (если они проводились);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17) рецензию (рецензии);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18) протокол (протоколы) рассмотрения (принятия) отчета;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19) справку о стоимости работ;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20) текстовые приложения;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21) графические приложения (если они предусмотрены).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Вспомогательный материал, не вошедший в текст отчета, помещается в качестве текстовых приложений после списка литературы или выделяется в отдельное приложение.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Отчет составляется как на бумажном носителе, так и на электронном носителе в виде электронного документа.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Качество отчета, представленного на бумажном носителе должно обеспечивать его неограниченное по времени хранение.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Отчет на электронном носителе в виде электронного документа должен соответствовать отчету на бумажном носителе по содержанию. Электронный носитель должен быть помещен в упаковку, предохраняющую его от повреждений.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В отчете должна быть помещена копия геологического (технического) задания к проектной документации на геологическое изучение недр, со всеми дополнениями к нему.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В отчете должны быть приведены копии актов приема-передачи: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материальных носителей первичной геологической информации о недрах на хранение в государственное специализированное хранилище;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3) материальных носителей первичной геологической информации о недрах на временное </w:t>
      </w:r>
      <w:r>
        <w:lastRenderedPageBreak/>
        <w:t>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6.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российской части (российском секторе) дна Каспийского моря, Мировом океане, и объяснительных записок к ним представляются в форме документа на бумажном носителе и в форме электронного документа на электронном носителе.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В состав комплекта цифровых материалов карты входят: цифровая модель карты, включая цифровую топооснову, макеты печати карты, объяснительная записка, сопроводительная документация к базам данных.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7.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российской части (российском секторе) дна Каспийского моря, Мировом океане приводятся в соответствии с геологическим (техническим) заданием к проектной документации на геологическое изучение недр.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8. Бюллетени государственного мониторинга состояния недр и режима подземных вод представляются на бумажном носителе и электронном носителе в виде электронных документов и должны содержать: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данные регулярных наблюдений по государственной опорной наблюдательной сети;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данные режимных наблюдений на полигонах;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данные регулярных обследований территорий и объектов;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4) данные государственного мониторинга состояния недр на объектном (локальном) уровне, включая материалы наблюдений на объектных наблюдательных сетях, отчетные материалы недропользователей, в том числе данные статистической отчетности;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5) данные государственного статистического наблюдения за добычей и использованием подземных вод;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6) результаты регионального геологического изучения недр, результаты поисково-оценочных и разведочных работ на различные полезные ископаемые, в том числе на подземные воды, материалы инженерных изысканий;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7) данные федерального фонда геологической информации, его территориальных фондов, фондов геологической информации субъектов Российской Федерации по отчетности предприятий, осуществляющих разведку месторождений полезных ископаемых и их добычу, включая </w:t>
      </w:r>
      <w:r>
        <w:lastRenderedPageBreak/>
        <w:t>извлечение подземных вод при водоповышении и водоотливе; поисково-разведочные работы на подземные воды;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8) данные других видов государственного мониторинга окружающей среды, необходимые для выполнения функций и задач государственного мониторинга состояния недр.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9. Учетные карточки, картограммы, контурные карты должны содержать: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вид изученности объекта;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номер государственной регистрации работ по геологическому изучению недр;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 (при наличии), государственного задания (при наличии), государственного контракта (при наличии);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4) номер и дата заключения экспертизы проектной документации на выполнение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5) номенклатуры листов топоосновы масштаба 1:1000000 в пределах которых располагается изученная площадь;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6) инвентарные номера отчетов и номера учетных карточек федерального фонда геологической информации и его территориальных фондов;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7) фамилии и инициалы авторов (соавторов) отчета, название отчета, вид, стадия, метод, масштаб работ, сроки проведения работ;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8) сведения о привязке к административно-территориальному делению; сведения о площади проведения работ; наименование организации;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9) целевое назначение работ; перечень полезных ископаемых, выявленных в процессе работ; сведения о подсчете запасов или прогнозных ресурсов полезных ископаемых;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10) номер протокола государственной экспертизы запасов;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11) реферат отчета;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12) сведения о пространственной привязке;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13) источник финансирования;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14) стоимость работ.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Картограммы должны содержать пронумерованные площади и контуры съемок в соответствии с масштабом работ.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10. Материалы по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 оперативному изменению состояния запасов полезных ископаемых по результатам геолого-разведочных работ и переоценки этих запасов,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подсчету запасов полезных ископаемых выявленных месторождений полезных ископаемых, </w:t>
      </w:r>
      <w:r>
        <w:lastRenderedPageBreak/>
        <w:t xml:space="preserve">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должны соответствовать материалам, предоставляемым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(Собрание законодательства Российской Федерации, 2005, N 8, ст. 651; 2006, N 32, ст. 3570; 2007, N 5, ст. 663; 2009, N 18, ст. 2248; 2014, N 6, ст. 594; 2015, N 50, ст. 7171; Официальный интернет-портал правовой информации http://www.pravo.gov.ru, 20 февраля 2016 г., N 0001201602200017).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11. Геологическая информация о недрах в форме электронного документа на электронном носителе представляется в виде: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информационных массивов (текстовые и графические файлы, сканобразы, файлы с данными геофизических наблюдений);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информационных комплексов (базы данных, цифровые таблицы);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программно-информационных комплексов (геоинформационные проекты (ГИС-проекты), банки данных).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12. Электронные документы, содержащие геологическую информацию (далее - электронные документы), должны формироваться в виде файлов в формате XML (далее - XML-документ) с использованием правил, определенных в файлах описания структуры XML-документов (далее - XSD-описание).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13. Электронные документы формируются с использованием Федеральной государственной информационной системы "Единый фонд геологической информации".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14. Электронные документы могут содержать вложения. Вложения должны быть представлены в форме следующих файлов общеупотребительных форматов: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1) файлы текстовых документов;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файлы электронных таблиц;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файлы графических изображений.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Допускается использование специализированных форматов файлов вложений при условии наличия программного обеспечения, обеспечивающего обработку электронных документов в данных форматах, на стороне получателя информации. Форматы вложений электронных документов должны соответствовать национальным или международным стандартам, признанным Российской Федерацией. Допускается использование в качестве вложений электронных документов приложений в виде XML-документов.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15. XSD-описание, использующееся для формирования определенного вида электронного документа, считается введенным в действие с момента размещения электронного документа на официальном сайте Министерства природных ресурсов и экологии Российской Федерации http://www.mnr.gov.ru.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16. Электронные документы, соответствующие XSD-описанию электронного документа, должны содержать в общем случае следующие блоки данных: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lastRenderedPageBreak/>
        <w:t xml:space="preserve">1) блок общих сведений об электронном документе. Содержит сведения о номерах электронного документа, присваиваемых ему в информационных системах, используемых при предоставлении государственной услуги, а также о дате и времени создания электронного документа, дате и </w:t>
      </w:r>
      <w:proofErr w:type="gramStart"/>
      <w:r>
        <w:t>времени его отправки</w:t>
      </w:r>
      <w:proofErr w:type="gramEnd"/>
      <w:r>
        <w:t xml:space="preserve"> и сроке ожидаемого ответа;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2) блок сведений об отправителе электронного документа. Содержит сведения, позволяющие идентифицировать отправителя;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3) блок сведений о получателе электронного документа. Содержит сведения, позволяющие идентифицировать получателя;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4) блок сведений о государственной услуге, для предоставления которой необходим электронный документ. Содержит идентификатор и наименование государственной услуги, а при возможности - идентификатор и наименование конкретной административной процедуры, в соответствии со сведениями Федеральной государственной информационной системы "Федеральный реестр государственных и муниципальных услуг (функций)";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5) блок специфических сведений электронного документа. Содержит сведения, установленные административным регламентом предоставления государственной услуги и не относящиеся к другим перечисленным блокам сведений: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сведений, необходимых для предоставления запрашиваемых в рамках межведомственного информационного взаимодействия электронного документа и (или) сведений;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сведений, направляемых получателю сведений в ответ на поступивший межведомственный запрос;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сведений, содержащихся в заявлении о предоставлении государственной услуги или в приложенных к нему документах;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 или результатах ее предоставления;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сведений о результатах предоставления государственной услуги, если результаты предоставления государственной услуги могут быть представлены в электронной форме;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других сведений, необходимых при предоставлении государственной услуги и установленные административным регламентом предоставления государственной услуги;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 xml:space="preserve">6) блок описания вложений электронного документа. Содержит описание файлов вложений и ссылки на тела файлов вложений внутри архива в формате ".ZIP", формируемого для его передачи в электронном сообщении. Структура блока описания вложений электронного документа, сведения в блоке вложений электронного документа и архив, содержащий тела файлов вложений электронного документа, формируются в соответствии с Техническими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взаимодействия, утвержденными приказом Минкомсвязи России от 23 июня 2015 года N 210 (зарегистрирован Минюстом России 25 августа 2015 года регистрационный номер 38668);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7) блок служебных сведений электронного документа. Содержит сведения, формируемые информационными системами взаимодействующих сторон.</w:t>
      </w:r>
    </w:p>
    <w:p w:rsidR="00F173FE" w:rsidRDefault="00F173FE">
      <w:pPr>
        <w:pStyle w:val="ConsPlusNormal"/>
        <w:spacing w:before="220"/>
        <w:ind w:firstLine="540"/>
        <w:jc w:val="both"/>
      </w:pPr>
      <w:r>
        <w:t>17. Электронные документы подписываются электронной подписью в порядке, установленном законодательством Российской Федерации.</w:t>
      </w: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ind w:firstLine="540"/>
        <w:jc w:val="both"/>
      </w:pPr>
    </w:p>
    <w:p w:rsidR="00F173FE" w:rsidRDefault="00F1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>
      <w:bookmarkStart w:id="1" w:name="_GoBack"/>
      <w:bookmarkEnd w:id="1"/>
    </w:p>
    <w:sectPr w:rsidR="0000738F" w:rsidSect="0091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FE"/>
    <w:rsid w:val="0000738F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A620-8D6F-4905-8A9C-4E00775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ECC517411A30E486F08CE251487329FBA68570AD16D9E44FF75779120A18E05A3FB8457C0A550181B3EDF2D386773FB39A95197E64EBBY1c0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ECC517411A30E486F08CE251487329EBB6B5401DB6D9E44FF75779120A18E17A3A38856C7BB511A0E688E68Y6c4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ECC517411A30E486F08CE251487329EBB6E5003D06D9E44FF75779120A18E05A3FB8457C0A554111B3EDF2D386773FB39A95197E64EBBY1c0R" TargetMode="External"/><Relationship Id="rId5" Type="http://schemas.openxmlformats.org/officeDocument/2006/relationships/hyperlink" Target="consultantplus://offline/ref=EBFECC517411A30E486F08CE251487329EBB6E5003D06D9E44FF75779120A18E05A3FB8457C0A554111B3EDF2D386773FB39A95197E64EBBY1c0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1</cp:revision>
  <dcterms:created xsi:type="dcterms:W3CDTF">2019-03-17T17:28:00Z</dcterms:created>
  <dcterms:modified xsi:type="dcterms:W3CDTF">2019-03-17T17:28:00Z</dcterms:modified>
</cp:coreProperties>
</file>